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800"/>
        <w:gridCol w:w="9432"/>
        <w:tblGridChange w:id="0">
          <w:tblGrid>
            <w:gridCol w:w="1800"/>
            <w:gridCol w:w="94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</w:rPr>
              <w:drawing>
                <wp:inline distB="114300" distT="114300" distL="114300" distR="114300">
                  <wp:extent cx="933450" cy="9334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6"/>
                <w:szCs w:val="46"/>
                <w:rtl w:val="0"/>
              </w:rPr>
              <w:t xml:space="preserve">Middlesex County Fair – Scheduled Events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44"/>
                <w:szCs w:val="4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6"/>
                <w:szCs w:val="46"/>
                <w:rtl w:val="0"/>
              </w:rPr>
              <w:t xml:space="preserve">Thursday, August 4,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9717"/>
        <w:tblGridChange w:id="0">
          <w:tblGrid>
            <w:gridCol w:w="1908"/>
            <w:gridCol w:w="9717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5:00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Fair Opens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5pm - Close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color w:val="99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32"/>
                <w:szCs w:val="32"/>
                <w:rtl w:val="0"/>
              </w:rPr>
              <w:t xml:space="preserve">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32"/>
                <w:szCs w:val="32"/>
                <w:rtl w:val="0"/>
              </w:rPr>
              <w:t xml:space="preserve">Y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32"/>
                <w:szCs w:val="32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32"/>
                <w:szCs w:val="32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32"/>
                <w:szCs w:val="32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32"/>
                <w:szCs w:val="32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32"/>
                <w:szCs w:val="32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32"/>
                <w:szCs w:val="32"/>
                <w:rtl w:val="0"/>
              </w:rPr>
              <w:t xml:space="preserve">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32"/>
                <w:szCs w:val="32"/>
                <w:rtl w:val="0"/>
              </w:rPr>
              <w:t xml:space="preserve">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2"/>
                <w:szCs w:val="32"/>
                <w:rtl w:val="0"/>
              </w:rPr>
              <w:t xml:space="preserve">All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2"/>
                <w:szCs w:val="32"/>
                <w:rtl w:val="0"/>
              </w:rPr>
              <w:t xml:space="preserve">Boon Hill Chainsaw Artist, Midway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5:45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5:45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6:00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6:30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 – 9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Feed the Animals, 4-H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 – 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Shot in the Dark Archery Target Shoot, Archery Trailer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Dog Show, Dog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Horse Demo,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Rhythm in Motion Cloggers Demo, 4-H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7:15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7:15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7:30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7:30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  <w:rtl w:val="0"/>
              </w:rPr>
              <w:t xml:space="preserve">Asbury Fever,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8:30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11:00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Fair Closes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Cambria" w:cs="Cambria" w:eastAsia="Cambria" w:hAnsi="Cambria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*All times/events are subject to change.  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88" w:left="431.9999999999999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